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428" w:rsidRPr="007434AA" w:rsidRDefault="008A1428" w:rsidP="008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s-MX"/>
        </w:rPr>
      </w:pPr>
      <w:bookmarkStart w:id="0" w:name="_GoBack"/>
      <w:bookmarkEnd w:id="0"/>
      <w:r w:rsidRPr="007434AA">
        <w:rPr>
          <w:rFonts w:ascii="Times New Roman" w:hAnsi="Times New Roman" w:cs="Times New Roman"/>
          <w:sz w:val="24"/>
          <w:szCs w:val="24"/>
          <w:lang w:eastAsia="es-MX"/>
        </w:rPr>
        <w:t>Cuadro 1. Principales habilitaciones, funcionamientos y capacidades turísticas de funcionamiento del turismo humano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800"/>
        <w:gridCol w:w="3117"/>
        <w:gridCol w:w="3029"/>
      </w:tblGrid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Habilitaciones turísticas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cuenta con:</w:t>
            </w:r>
          </w:p>
        </w:tc>
        <w:tc>
          <w:tcPr>
            <w:tcW w:w="3212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Funcionamientos turísticos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puede o no:</w:t>
            </w:r>
          </w:p>
        </w:tc>
        <w:tc>
          <w:tcPr>
            <w:tcW w:w="3118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Capacidades turísticas de funcionamiento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 xml:space="preserve">Una agencia turística es o no capaz de:  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1. Recursos y oportunidades: Incentivos y facilidades para emprender y promover una agencia turística.</w:t>
            </w:r>
          </w:p>
        </w:tc>
        <w:tc>
          <w:tcPr>
            <w:tcW w:w="3212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Gestionar con rapidez la apertura o ampliación de un negocio.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Contar con alternativas diferenciadas de consumo.</w:t>
            </w:r>
          </w:p>
        </w:tc>
        <w:tc>
          <w:tcPr>
            <w:tcW w:w="3118" w:type="dxa"/>
          </w:tcPr>
          <w:p w:rsidR="008A1428" w:rsidRPr="007434AA" w:rsidRDefault="008A1428" w:rsidP="005C51BB">
            <w:pPr>
              <w:shd w:val="clear" w:color="auto" w:fill="FFFFFF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Ofrecer y demandar productos y servicios turísticos oportunamente.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2. Oportunidades: Facilidades para tener acceso al mercado turístico.</w:t>
            </w:r>
          </w:p>
        </w:tc>
        <w:tc>
          <w:tcPr>
            <w:tcW w:w="3212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 y demanda de la agencia turística: Tener un entorno favorable, principalmente institucional.</w:t>
            </w:r>
          </w:p>
        </w:tc>
        <w:tc>
          <w:tcPr>
            <w:tcW w:w="3118" w:type="dxa"/>
          </w:tcPr>
          <w:p w:rsidR="008A1428" w:rsidRPr="007434AA" w:rsidRDefault="008A1428" w:rsidP="005C51BB">
            <w:pPr>
              <w:shd w:val="clear" w:color="auto" w:fill="FFFFFF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Colocar y demandar productos y servicios turísticos en el mercado local e internacional oportunamente.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3. Recursos y oportunidades: Facilidad para crear y acceder a sistemas de información del mercado local, nacional e internacional (estudios y bases de datos)</w:t>
            </w:r>
          </w:p>
        </w:tc>
        <w:tc>
          <w:tcPr>
            <w:tcW w:w="3212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 y demanda de la agencia turística: Tener información oportuna para la toma de decisiones.</w:t>
            </w:r>
          </w:p>
        </w:tc>
        <w:tc>
          <w:tcPr>
            <w:tcW w:w="3118" w:type="dxa"/>
          </w:tcPr>
          <w:p w:rsidR="008A1428" w:rsidRPr="007434AA" w:rsidRDefault="008A1428" w:rsidP="005C51BB">
            <w:pPr>
              <w:shd w:val="clear" w:color="auto" w:fill="FFFFFF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</w:rPr>
              <w:t>Tomar decisiones de manera oportuna.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4. Oportunidades: Accesibilidad a las atracciones turísticas</w:t>
            </w:r>
          </w:p>
        </w:tc>
        <w:tc>
          <w:tcPr>
            <w:tcW w:w="3212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Tener acceso a las atracciones turísticas y potencializar el producto turístico.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Apreciar, valorar, disfrutar y aprender de las atracciones turísticas.</w:t>
            </w:r>
          </w:p>
        </w:tc>
        <w:tc>
          <w:tcPr>
            <w:tcW w:w="3118" w:type="dxa"/>
          </w:tcPr>
          <w:p w:rsidR="008A1428" w:rsidRPr="007434AA" w:rsidRDefault="008A1428" w:rsidP="005C51BB">
            <w:pPr>
              <w:shd w:val="clear" w:color="auto" w:fill="FFFFFF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</w:rPr>
              <w:t>Aprovechar oportunamente los atractivos turísticos del destino en beneficio de los visitantes y de los residentes.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5. Recursos: Disponer de infraestructura turística.</w:t>
            </w:r>
          </w:p>
        </w:tc>
        <w:tc>
          <w:tcPr>
            <w:tcW w:w="3212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Contar con la infraestructura turística en el entorno.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Disponer de infraestructura turística adecuada.</w:t>
            </w:r>
          </w:p>
        </w:tc>
        <w:tc>
          <w:tcPr>
            <w:tcW w:w="3118" w:type="dxa"/>
          </w:tcPr>
          <w:p w:rsidR="008A1428" w:rsidRPr="007434AA" w:rsidRDefault="008A1428" w:rsidP="005C51BB">
            <w:pPr>
              <w:shd w:val="clear" w:color="auto" w:fill="FFFFFF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</w:rPr>
              <w:t xml:space="preserve">Generar economías de escala que posibiliten potencializar la comercialización del producto turístico, generando beneficios individuales y colectivos. </w:t>
            </w:r>
          </w:p>
        </w:tc>
      </w:tr>
    </w:tbl>
    <w:p w:rsidR="008A1428" w:rsidRPr="007434AA" w:rsidRDefault="008A1428" w:rsidP="008A1428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Fuente: La propuesta de turismo humano, el análisis y propuesta técnica sobre la expansión de las capacidades turísticas de funcionamiento es propia. Las categorías de análisis tienen referencias en </w:t>
      </w:r>
      <w:proofErr w:type="spellStart"/>
      <w:r w:rsidRPr="007434AA">
        <w:rPr>
          <w:rFonts w:ascii="Times New Roman" w:hAnsi="Times New Roman" w:cs="Times New Roman"/>
          <w:sz w:val="20"/>
          <w:szCs w:val="20"/>
          <w:lang w:eastAsia="es-MX"/>
        </w:rPr>
        <w:t>Figuerola</w:t>
      </w:r>
      <w:proofErr w:type="spellEnd"/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 (2014: 233-264); </w:t>
      </w:r>
      <w:proofErr w:type="spellStart"/>
      <w:r w:rsidRPr="007434AA">
        <w:rPr>
          <w:rFonts w:ascii="Times New Roman" w:hAnsi="Times New Roman" w:cs="Times New Roman"/>
          <w:bCs/>
          <w:sz w:val="20"/>
          <w:szCs w:val="20"/>
        </w:rPr>
        <w:t>Panosso</w:t>
      </w:r>
      <w:proofErr w:type="spellEnd"/>
      <w:r w:rsidRPr="007434AA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bCs/>
          <w:sz w:val="20"/>
          <w:szCs w:val="20"/>
        </w:rPr>
        <w:t xml:space="preserve"> (2012: 149-282);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Kotler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sz w:val="20"/>
          <w:szCs w:val="20"/>
        </w:rPr>
        <w:t xml:space="preserve"> (2008: 167-189, </w:t>
      </w:r>
      <w:r w:rsidRPr="007434AA">
        <w:rPr>
          <w:rFonts w:ascii="Times New Roman" w:hAnsi="Times New Roman" w:cs="Times New Roman"/>
          <w:bCs/>
          <w:sz w:val="20"/>
          <w:szCs w:val="20"/>
        </w:rPr>
        <w:t>191-216</w:t>
      </w:r>
      <w:r w:rsidRPr="007434AA">
        <w:rPr>
          <w:rFonts w:ascii="Times New Roman" w:hAnsi="Times New Roman" w:cs="Times New Roman"/>
          <w:sz w:val="20"/>
          <w:szCs w:val="20"/>
        </w:rPr>
        <w:t xml:space="preserve">); Bote (2002: 115-142); Baca (2006: 13-166);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Acerenza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 (2003: 207-232);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Tribe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 (1999: 67-90)</w:t>
      </w:r>
      <w:r w:rsidRPr="007434AA">
        <w:rPr>
          <w:rFonts w:ascii="Times New Roman" w:hAnsi="Times New Roman" w:cs="Times New Roman"/>
          <w:bCs/>
          <w:sz w:val="20"/>
          <w:szCs w:val="20"/>
        </w:rPr>
        <w:t>.</w:t>
      </w:r>
    </w:p>
    <w:p w:rsidR="008A1428" w:rsidRPr="007434AA" w:rsidRDefault="008A1428" w:rsidP="008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s-MX"/>
        </w:rPr>
      </w:pPr>
    </w:p>
    <w:p w:rsidR="008A1428" w:rsidRPr="007434AA" w:rsidRDefault="008A1428" w:rsidP="008A1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s-MX"/>
        </w:rPr>
      </w:pPr>
    </w:p>
    <w:p w:rsidR="008A1428" w:rsidRPr="007434AA" w:rsidRDefault="008A1428" w:rsidP="008A14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434AA">
        <w:rPr>
          <w:rFonts w:ascii="Times New Roman" w:hAnsi="Times New Roman" w:cs="Times New Roman"/>
          <w:sz w:val="24"/>
          <w:szCs w:val="24"/>
          <w:lang w:eastAsia="es-MX"/>
        </w:rPr>
        <w:lastRenderedPageBreak/>
        <w:t>Cuadro 2. Principales habilitaciones, funcionamientos y capacidades turísticas de funcionamiento del turismo humano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808"/>
        <w:gridCol w:w="2913"/>
        <w:gridCol w:w="3225"/>
      </w:tblGrid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Habilitaciones turísticas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cuenta con: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Funcionamientos turísticos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puede o no: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Capacidades turísticas de funcionamiento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 xml:space="preserve">Una agencia turística es o no capaz de:  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6. Recursos: Instalaciones apropiadas o locales adecuados, debidamente diseñadas, con equipamiento y estratégicamente ubicadas.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Tener procesos productivos y de servicios adecuados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Disponer de calidad en productos y servicios.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</w:rPr>
              <w:t xml:space="preserve">Tener competitividad </w:t>
            </w:r>
            <w:r w:rsidRPr="007434AA">
              <w:rPr>
                <w:sz w:val="24"/>
                <w:szCs w:val="24"/>
                <w:lang w:eastAsia="es-MX"/>
              </w:rPr>
              <w:t>en productos y servicios.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7. Recursos: Acceso a insumos y materia prima de calidad.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Contar con insumos y materias primas de calidad para una adecuada hospitalidad.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Disponer de productos de calidad, nuevos, diferenciados y mejorados.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 xml:space="preserve">Comercializar productos turísticos a partir de insumos de calidad y provenientes de prácticas amigables con el entorno natural, para responder a la demanda turística que aboga por una vida más longeva y el valor del entorno natural. 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8. Recursos y oportunidades: Accesibilidad e infraestructura adecuada para el transporte y las comunicaciones.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Disponer de procesos ágiles al contar con accesibilidad e infraestructura adecuada.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 xml:space="preserve">Demanda de la agencia turística: Acceder a un destino accesible. 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Ser accesible y tener  comunicaciones y transportes de calidad.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9. Recursos y oportunidades: Acceso a las nuevas tecnologías de la información y la comunicación, TIC´S.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Utilizar las nuevas TIC´S para mejorar la gestión turística.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Disponer de nuevas TIC´S para organizar sus viajes.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Tener competitividad e innovar utilizando las nuevas TIC´S.</w:t>
            </w:r>
          </w:p>
        </w:tc>
      </w:tr>
    </w:tbl>
    <w:p w:rsidR="008A1428" w:rsidRPr="007434AA" w:rsidRDefault="008A1428" w:rsidP="008A142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es-MX"/>
        </w:rPr>
      </w:pPr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Fuente: La propuesta de turismo humano, el análisis y propuesta técnica sobre la expansión de las capacidades turísticas de funcionamiento es propia. Las categorías de análisis tienen referencias en </w:t>
      </w:r>
      <w:proofErr w:type="spellStart"/>
      <w:r w:rsidRPr="007434AA">
        <w:rPr>
          <w:rFonts w:ascii="Times New Roman" w:hAnsi="Times New Roman" w:cs="Times New Roman"/>
          <w:sz w:val="20"/>
          <w:szCs w:val="20"/>
          <w:lang w:eastAsia="es-MX"/>
        </w:rPr>
        <w:t>Figuerola</w:t>
      </w:r>
      <w:proofErr w:type="spellEnd"/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 (2014: 233-264); </w:t>
      </w:r>
      <w:proofErr w:type="spellStart"/>
      <w:r w:rsidRPr="007434AA">
        <w:rPr>
          <w:rFonts w:ascii="Times New Roman" w:hAnsi="Times New Roman" w:cs="Times New Roman"/>
          <w:bCs/>
          <w:sz w:val="20"/>
          <w:szCs w:val="20"/>
        </w:rPr>
        <w:t>Panosso</w:t>
      </w:r>
      <w:proofErr w:type="spellEnd"/>
      <w:r w:rsidRPr="007434AA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bCs/>
          <w:sz w:val="20"/>
          <w:szCs w:val="20"/>
        </w:rPr>
        <w:t xml:space="preserve"> (2012: 149-282);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Kotler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sz w:val="20"/>
          <w:szCs w:val="20"/>
        </w:rPr>
        <w:t xml:space="preserve"> (2008: 167-189, </w:t>
      </w:r>
      <w:r w:rsidRPr="007434AA">
        <w:rPr>
          <w:rFonts w:ascii="Times New Roman" w:hAnsi="Times New Roman" w:cs="Times New Roman"/>
          <w:bCs/>
          <w:sz w:val="20"/>
          <w:szCs w:val="20"/>
        </w:rPr>
        <w:t>191-216</w:t>
      </w:r>
      <w:r w:rsidRPr="007434AA">
        <w:rPr>
          <w:rFonts w:ascii="Times New Roman" w:hAnsi="Times New Roman" w:cs="Times New Roman"/>
          <w:sz w:val="20"/>
          <w:szCs w:val="20"/>
        </w:rPr>
        <w:t xml:space="preserve">); Bote (2002: 115-142); Baca (2006: 13-166);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Acerenza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 (2003: 207-232);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Tribe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 (1999: 67-90)</w:t>
      </w:r>
      <w:r w:rsidRPr="007434AA">
        <w:rPr>
          <w:rFonts w:ascii="Times New Roman" w:hAnsi="Times New Roman" w:cs="Times New Roman"/>
          <w:bCs/>
          <w:sz w:val="20"/>
          <w:szCs w:val="20"/>
        </w:rPr>
        <w:t>.</w:t>
      </w:r>
    </w:p>
    <w:p w:rsidR="008A1428" w:rsidRPr="007434AA" w:rsidRDefault="008A1428" w:rsidP="008A1428">
      <w:pPr>
        <w:rPr>
          <w:rFonts w:ascii="Times New Roman" w:hAnsi="Times New Roman" w:cs="Times New Roman"/>
          <w:sz w:val="24"/>
          <w:szCs w:val="24"/>
          <w:lang w:eastAsia="es-MX"/>
        </w:rPr>
      </w:pPr>
      <w:r w:rsidRPr="007434AA">
        <w:rPr>
          <w:rFonts w:ascii="Times New Roman" w:hAnsi="Times New Roman" w:cs="Times New Roman"/>
          <w:sz w:val="24"/>
          <w:szCs w:val="24"/>
          <w:lang w:eastAsia="es-MX"/>
        </w:rPr>
        <w:br w:type="page"/>
      </w:r>
    </w:p>
    <w:p w:rsidR="008A1428" w:rsidRPr="007434AA" w:rsidRDefault="008A1428" w:rsidP="008A142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434AA">
        <w:rPr>
          <w:rFonts w:ascii="Times New Roman" w:hAnsi="Times New Roman" w:cs="Times New Roman"/>
          <w:sz w:val="24"/>
          <w:szCs w:val="24"/>
          <w:lang w:eastAsia="es-MX"/>
        </w:rPr>
        <w:lastRenderedPageBreak/>
        <w:t>Cuadro 3. Principales habilitaciones, funcionamientos y capacidades turísticas de funcionamiento del turismo humano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803"/>
        <w:gridCol w:w="2916"/>
        <w:gridCol w:w="3227"/>
      </w:tblGrid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Habilitaciones turísticas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cuenta con: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Funcionamientos turísticos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puede o no: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Capacidades turísticas de funcionamiento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 xml:space="preserve">Una agencia turística es o no capaz de:  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10. Recursos y oportunidades: Acceso a los avances científicos y tecnológicos de vanguardia.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Mejorar los procesos actuales y generar  nuevos productos.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Contar con nuevos y mejores productos turísticos.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Tener competitividad y calidad en el producto turístico utilizando nuevos  conocimientos y tecnologías de vanguardia y alternativas compatibles con la sostenibilidad ambiental.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11. Recursos y oportunidades: Formación humana para el liderazgo y la interacción integral en el trabajo.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Implementar procesos de calidad en el servicio turístico basados en la creatividad.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Contar con calidad en el servicio.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jc w:val="both"/>
            </w:pPr>
            <w:r w:rsidRPr="007434AA">
              <w:rPr>
                <w:sz w:val="24"/>
                <w:szCs w:val="24"/>
                <w:lang w:eastAsia="es-MX"/>
              </w:rPr>
              <w:t>Tener calidad en el servicio turístico para incentivar la demanda.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12. Oportunidades: Canales de distribución adecuados.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Colocar de manera oportuna el producto turístico.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Adquirir oportunamente el producto turístico.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</w:rPr>
              <w:t>Comercializar bienes y servicios turísticos de manera oportuna utilizando los canales de distribución más adecuados.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13. Oportunidades: Servicios financieros.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Disponer de servicios financieros.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Contar con servicios financieros en el destino.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</w:rPr>
              <w:t>Contar con respaldo, solidez y servicio financiero que respalde el intercambio de bienes y servicios.</w:t>
            </w:r>
          </w:p>
        </w:tc>
      </w:tr>
    </w:tbl>
    <w:p w:rsidR="008A1428" w:rsidRPr="007434AA" w:rsidRDefault="008A1428" w:rsidP="008A142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es-MX"/>
        </w:rPr>
      </w:pPr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Fuente: La propuesta de turismo humano, el análisis y propuesta técnica sobre la expansión de las capacidades turísticas de funcionamiento es propia. Las categorías de análisis tienen referencias en </w:t>
      </w:r>
      <w:proofErr w:type="spellStart"/>
      <w:r w:rsidRPr="007434AA">
        <w:rPr>
          <w:rFonts w:ascii="Times New Roman" w:hAnsi="Times New Roman" w:cs="Times New Roman"/>
          <w:sz w:val="20"/>
          <w:szCs w:val="20"/>
          <w:lang w:eastAsia="es-MX"/>
        </w:rPr>
        <w:t>Figuerola</w:t>
      </w:r>
      <w:proofErr w:type="spellEnd"/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sz w:val="20"/>
          <w:szCs w:val="20"/>
          <w:lang w:eastAsia="es-MX"/>
        </w:rPr>
        <w:t xml:space="preserve"> (2014: 233-264); </w:t>
      </w:r>
      <w:proofErr w:type="spellStart"/>
      <w:r w:rsidRPr="007434AA">
        <w:rPr>
          <w:rFonts w:ascii="Times New Roman" w:hAnsi="Times New Roman" w:cs="Times New Roman"/>
          <w:bCs/>
          <w:sz w:val="20"/>
          <w:szCs w:val="20"/>
        </w:rPr>
        <w:t>Panosso</w:t>
      </w:r>
      <w:proofErr w:type="spellEnd"/>
      <w:r w:rsidRPr="007434AA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bCs/>
          <w:sz w:val="20"/>
          <w:szCs w:val="20"/>
        </w:rPr>
        <w:t xml:space="preserve"> (2012: 149-282);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Kotler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, </w:t>
      </w:r>
      <w:r w:rsidRPr="007434AA">
        <w:rPr>
          <w:rFonts w:ascii="Times New Roman" w:hAnsi="Times New Roman" w:cs="Times New Roman"/>
          <w:i/>
          <w:sz w:val="20"/>
          <w:szCs w:val="20"/>
          <w:lang w:eastAsia="es-MX"/>
        </w:rPr>
        <w:t>et al.</w:t>
      </w:r>
      <w:r w:rsidRPr="007434AA">
        <w:rPr>
          <w:rFonts w:ascii="Times New Roman" w:hAnsi="Times New Roman" w:cs="Times New Roman"/>
          <w:sz w:val="20"/>
          <w:szCs w:val="20"/>
        </w:rPr>
        <w:t xml:space="preserve"> (2008: 167-189, </w:t>
      </w:r>
      <w:r w:rsidRPr="007434AA">
        <w:rPr>
          <w:rFonts w:ascii="Times New Roman" w:hAnsi="Times New Roman" w:cs="Times New Roman"/>
          <w:bCs/>
          <w:sz w:val="20"/>
          <w:szCs w:val="20"/>
        </w:rPr>
        <w:t>191-216</w:t>
      </w:r>
      <w:r w:rsidRPr="007434AA">
        <w:rPr>
          <w:rFonts w:ascii="Times New Roman" w:hAnsi="Times New Roman" w:cs="Times New Roman"/>
          <w:sz w:val="20"/>
          <w:szCs w:val="20"/>
        </w:rPr>
        <w:t xml:space="preserve">); Bote (2002: 115-142); Baca (2006: 13-166);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Acerenza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 (2003: 207-232); </w:t>
      </w:r>
      <w:proofErr w:type="spellStart"/>
      <w:r w:rsidRPr="007434AA">
        <w:rPr>
          <w:rFonts w:ascii="Times New Roman" w:hAnsi="Times New Roman" w:cs="Times New Roman"/>
          <w:sz w:val="20"/>
          <w:szCs w:val="20"/>
        </w:rPr>
        <w:t>Tribe</w:t>
      </w:r>
      <w:proofErr w:type="spellEnd"/>
      <w:r w:rsidRPr="007434AA">
        <w:rPr>
          <w:rFonts w:ascii="Times New Roman" w:hAnsi="Times New Roman" w:cs="Times New Roman"/>
          <w:sz w:val="20"/>
          <w:szCs w:val="20"/>
        </w:rPr>
        <w:t xml:space="preserve"> (1999: 67-90)</w:t>
      </w:r>
      <w:r w:rsidRPr="007434AA">
        <w:rPr>
          <w:rFonts w:ascii="Times New Roman" w:hAnsi="Times New Roman" w:cs="Times New Roman"/>
          <w:bCs/>
          <w:sz w:val="20"/>
          <w:szCs w:val="20"/>
        </w:rPr>
        <w:t>.</w:t>
      </w:r>
    </w:p>
    <w:p w:rsidR="008A1428" w:rsidRPr="007434AA" w:rsidRDefault="008A1428" w:rsidP="008A1428">
      <w:pPr>
        <w:rPr>
          <w:rFonts w:ascii="Times New Roman" w:hAnsi="Times New Roman" w:cs="Times New Roman"/>
        </w:rPr>
      </w:pPr>
      <w:r w:rsidRPr="007434AA">
        <w:rPr>
          <w:rFonts w:ascii="Times New Roman" w:hAnsi="Times New Roman" w:cs="Times New Roman"/>
        </w:rPr>
        <w:br w:type="page"/>
      </w:r>
    </w:p>
    <w:p w:rsidR="008A1428" w:rsidRPr="007434AA" w:rsidRDefault="008A1428" w:rsidP="008A142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434AA">
        <w:rPr>
          <w:rFonts w:ascii="Times New Roman" w:hAnsi="Times New Roman" w:cs="Times New Roman"/>
          <w:sz w:val="24"/>
          <w:szCs w:val="24"/>
          <w:lang w:eastAsia="es-MX"/>
        </w:rPr>
        <w:lastRenderedPageBreak/>
        <w:t>Cuadro 4. Principales habilitaciones, funcionamientos y capacidades turísticas de funcionamiento del turismo humano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809"/>
        <w:gridCol w:w="2914"/>
        <w:gridCol w:w="3223"/>
      </w:tblGrid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Habilitaciones turísticas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cuenta con: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Funcionamientos turísticos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>Una agencia turística puede o no: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jc w:val="center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Capacidades turísticas de funcionamiento</w:t>
            </w:r>
          </w:p>
          <w:p w:rsidR="008A1428" w:rsidRPr="007434AA" w:rsidRDefault="008A1428" w:rsidP="005C51BB">
            <w:pPr>
              <w:jc w:val="center"/>
              <w:rPr>
                <w:i/>
                <w:sz w:val="24"/>
                <w:szCs w:val="24"/>
                <w:lang w:eastAsia="es-MX"/>
              </w:rPr>
            </w:pPr>
            <w:r w:rsidRPr="007434AA">
              <w:rPr>
                <w:i/>
                <w:sz w:val="24"/>
                <w:szCs w:val="24"/>
                <w:lang w:eastAsia="es-MX"/>
              </w:rPr>
              <w:t xml:space="preserve">Una agencia turística es o no capaz de:  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14. Oportunidades: Servicios urbanos y públicos básicos.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turística: Disponer de energías, agua limpia, drenaje adecuado y depósito de desechos sólidos.</w:t>
            </w:r>
          </w:p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Demanda de la agencia turística: Contar con calidad de los servicios básicos.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</w:rPr>
              <w:t>Lograr competitividad al contar con servicios urbanos o públicos eficientes.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15. Oportunidades: Seguridad pública y privada.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 y demanda de la agencia turística: Realizar procesos de gestión en condiciones de seguridad y evitando el riesgo del entorno.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34AA">
              <w:rPr>
                <w:sz w:val="24"/>
                <w:szCs w:val="24"/>
                <w:lang w:eastAsia="es-MX"/>
              </w:rPr>
              <w:t>Operar y brindar servicios turísticos en condiciones de seguridad.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16. Oportunidades: Leyes, reglamentos, planes y normas claras que favorezcan la gestión del turismo humano.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  y demanda de la agencia turística: Tener un marco jurídico que facilite la gestión del turismo.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Realizar con facilidad prácticas turísticas que incentiven el turismo humano, y por ende, la sostenibilidad social, económica y ambiental.</w:t>
            </w:r>
          </w:p>
        </w:tc>
      </w:tr>
      <w:tr w:rsidR="008A1428" w:rsidRPr="007434AA" w:rsidTr="005C51BB">
        <w:tc>
          <w:tcPr>
            <w:tcW w:w="2884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17. Oportunidades: Garantías sociales con políticas no discriminatorias.</w:t>
            </w:r>
          </w:p>
        </w:tc>
        <w:tc>
          <w:tcPr>
            <w:tcW w:w="2993" w:type="dxa"/>
          </w:tcPr>
          <w:p w:rsidR="008A1428" w:rsidRPr="007434AA" w:rsidRDefault="008A1428" w:rsidP="005C51BB">
            <w:pPr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Oferta de la agencia turística y demanda de la agencia turística: Integrarse o ser excluida sí existen políticas discriminatorias económicas y sociales.</w:t>
            </w:r>
          </w:p>
        </w:tc>
        <w:tc>
          <w:tcPr>
            <w:tcW w:w="3337" w:type="dxa"/>
          </w:tcPr>
          <w:p w:rsidR="008A1428" w:rsidRPr="007434AA" w:rsidRDefault="008A1428" w:rsidP="005C51BB">
            <w:pPr>
              <w:shd w:val="clear" w:color="auto" w:fill="FFFFFF"/>
              <w:jc w:val="both"/>
              <w:rPr>
                <w:sz w:val="24"/>
                <w:szCs w:val="24"/>
                <w:lang w:eastAsia="es-MX"/>
              </w:rPr>
            </w:pPr>
            <w:r w:rsidRPr="007434AA">
              <w:rPr>
                <w:sz w:val="24"/>
                <w:szCs w:val="24"/>
                <w:lang w:eastAsia="es-MX"/>
              </w:rPr>
              <w:t>Competir en el mercado en condiciones de igualdad.</w:t>
            </w:r>
          </w:p>
        </w:tc>
      </w:tr>
    </w:tbl>
    <w:p w:rsidR="008A1428" w:rsidRPr="007434AA" w:rsidRDefault="008A1428" w:rsidP="008A1428">
      <w:pPr>
        <w:pStyle w:val="Textonotapie"/>
        <w:jc w:val="both"/>
        <w:rPr>
          <w:lang w:eastAsia="es-MX"/>
        </w:rPr>
      </w:pPr>
      <w:r w:rsidRPr="007434AA">
        <w:rPr>
          <w:lang w:eastAsia="es-MX"/>
        </w:rPr>
        <w:t xml:space="preserve">Fuente: La propuesta de turismo humano, el análisis y propuesta técnica sobre la expansión de las capacidades turísticas de funcionamiento es propia. Las categorías de análisis tienen referencias en </w:t>
      </w:r>
      <w:proofErr w:type="spellStart"/>
      <w:r w:rsidRPr="007434AA">
        <w:rPr>
          <w:lang w:eastAsia="es-MX"/>
        </w:rPr>
        <w:t>Figuerola</w:t>
      </w:r>
      <w:proofErr w:type="spellEnd"/>
      <w:r w:rsidRPr="007434AA">
        <w:rPr>
          <w:lang w:eastAsia="es-MX"/>
        </w:rPr>
        <w:t xml:space="preserve">, </w:t>
      </w:r>
      <w:r w:rsidRPr="007434AA">
        <w:rPr>
          <w:i/>
          <w:lang w:eastAsia="es-MX"/>
        </w:rPr>
        <w:t>et al.</w:t>
      </w:r>
      <w:r w:rsidRPr="007434AA">
        <w:rPr>
          <w:lang w:eastAsia="es-MX"/>
        </w:rPr>
        <w:t xml:space="preserve"> (2014: 233-264); </w:t>
      </w:r>
      <w:proofErr w:type="spellStart"/>
      <w:r w:rsidRPr="007434AA">
        <w:rPr>
          <w:bCs/>
        </w:rPr>
        <w:t>Panosso</w:t>
      </w:r>
      <w:proofErr w:type="spellEnd"/>
      <w:r w:rsidRPr="007434AA">
        <w:rPr>
          <w:bCs/>
        </w:rPr>
        <w:t xml:space="preserve">, </w:t>
      </w:r>
      <w:r w:rsidRPr="007434AA">
        <w:rPr>
          <w:i/>
          <w:lang w:eastAsia="es-MX"/>
        </w:rPr>
        <w:t>et al.</w:t>
      </w:r>
      <w:r w:rsidRPr="007434AA">
        <w:rPr>
          <w:bCs/>
        </w:rPr>
        <w:t xml:space="preserve"> (2012: 149-282); </w:t>
      </w:r>
      <w:proofErr w:type="spellStart"/>
      <w:r w:rsidRPr="007434AA">
        <w:t>Kotler</w:t>
      </w:r>
      <w:proofErr w:type="spellEnd"/>
      <w:r w:rsidRPr="007434AA">
        <w:t xml:space="preserve">, </w:t>
      </w:r>
      <w:r w:rsidRPr="007434AA">
        <w:rPr>
          <w:i/>
          <w:lang w:eastAsia="es-MX"/>
        </w:rPr>
        <w:t>et al.</w:t>
      </w:r>
      <w:r w:rsidRPr="007434AA">
        <w:t xml:space="preserve"> (2008: 167-189, </w:t>
      </w:r>
      <w:r w:rsidRPr="007434AA">
        <w:rPr>
          <w:bCs/>
        </w:rPr>
        <w:t>191-216</w:t>
      </w:r>
      <w:r w:rsidRPr="007434AA">
        <w:t xml:space="preserve">); Bote (2002: 115-142); Baca (2006: 13-166); </w:t>
      </w:r>
      <w:proofErr w:type="spellStart"/>
      <w:r w:rsidRPr="007434AA">
        <w:t>Acerenza</w:t>
      </w:r>
      <w:proofErr w:type="spellEnd"/>
      <w:r w:rsidRPr="007434AA">
        <w:t xml:space="preserve"> (2003: 207-232); </w:t>
      </w:r>
      <w:proofErr w:type="spellStart"/>
      <w:r w:rsidRPr="007434AA">
        <w:t>Tribe</w:t>
      </w:r>
      <w:proofErr w:type="spellEnd"/>
      <w:r w:rsidRPr="007434AA">
        <w:t xml:space="preserve"> (1999: 67-90)</w:t>
      </w:r>
      <w:r w:rsidRPr="007434AA">
        <w:rPr>
          <w:bCs/>
        </w:rPr>
        <w:t>.</w:t>
      </w:r>
    </w:p>
    <w:p w:rsidR="005A5865" w:rsidRPr="008A1428" w:rsidRDefault="005A5865">
      <w:pPr>
        <w:rPr>
          <w:lang w:val="es-ES"/>
        </w:rPr>
      </w:pPr>
    </w:p>
    <w:sectPr w:rsidR="005A5865" w:rsidRPr="008A14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428"/>
    <w:rsid w:val="005A5865"/>
    <w:rsid w:val="008A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4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8A1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A1428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4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8A1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A1428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1360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2015-02-24T01:24:00Z</dcterms:created>
  <dcterms:modified xsi:type="dcterms:W3CDTF">2015-02-24T01:24:00Z</dcterms:modified>
</cp:coreProperties>
</file>