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E57" w:rsidRDefault="00047E57" w:rsidP="00047E57">
      <w:pPr>
        <w:jc w:val="center"/>
        <w:rPr>
          <w:noProof/>
          <w:lang w:eastAsia="es-MX"/>
        </w:rPr>
      </w:pPr>
      <w:r>
        <w:rPr>
          <w:noProof/>
          <w:lang w:eastAsia="es-MX"/>
        </w:rPr>
        <w:t>Figura No 2</w:t>
      </w:r>
    </w:p>
    <w:p w:rsidR="00047E57" w:rsidRDefault="00047E57" w:rsidP="00047E57">
      <w:pPr>
        <w:jc w:val="center"/>
        <w:rPr>
          <w:noProof/>
          <w:lang w:eastAsia="es-MX"/>
        </w:rPr>
      </w:pPr>
      <w:r>
        <w:rPr>
          <w:noProof/>
          <w:lang w:eastAsia="es-MX"/>
        </w:rPr>
        <w:t>Playa Recreativa Caracol</w:t>
      </w:r>
    </w:p>
    <w:p w:rsidR="00047E57" w:rsidRDefault="00047E57" w:rsidP="00047E57">
      <w:pPr>
        <w:jc w:val="center"/>
        <w:rPr>
          <w:noProof/>
          <w:lang w:eastAsia="es-MX"/>
        </w:rPr>
      </w:pPr>
      <w:r>
        <w:rPr>
          <w:noProof/>
          <w:lang w:eastAsia="es-MX"/>
        </w:rPr>
        <w:t>Lote No. 5B 1ª Sección “A”</w:t>
      </w:r>
    </w:p>
    <w:p w:rsidR="00047E57" w:rsidRDefault="00047E57" w:rsidP="00047E57">
      <w:pPr>
        <w:jc w:val="center"/>
        <w:rPr>
          <w:noProof/>
          <w:lang w:eastAsia="es-MX"/>
        </w:rPr>
      </w:pPr>
      <w:r>
        <w:rPr>
          <w:noProof/>
          <w:lang w:eastAsia="es-MX"/>
        </w:rPr>
        <w:t>Superficie Total 9, 062.29  m²</w:t>
      </w:r>
    </w:p>
    <w:p w:rsidR="00047E57" w:rsidRDefault="00047E57">
      <w:pPr>
        <w:rPr>
          <w:noProof/>
          <w:lang w:eastAsia="es-MX"/>
        </w:rPr>
      </w:pPr>
    </w:p>
    <w:p w:rsidR="00FE7D61" w:rsidRDefault="00047E57" w:rsidP="00047E57">
      <w:pPr>
        <w:jc w:val="center"/>
      </w:pPr>
      <w:r>
        <w:rPr>
          <w:noProof/>
          <w:lang w:eastAsia="es-MX"/>
        </w:rPr>
        <w:drawing>
          <wp:inline distT="0" distB="0" distL="0" distR="0" wp14:anchorId="4E049574">
            <wp:extent cx="3688715" cy="3773805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15" cy="377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47E57" w:rsidRPr="00CF30BC" w:rsidRDefault="00047E57" w:rsidP="00047E5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eastAsia="es-MX"/>
        </w:rPr>
      </w:pPr>
      <w:r w:rsidRPr="00CF30BC">
        <w:rPr>
          <w:rFonts w:ascii="Times New Roman" w:eastAsia="Calibri" w:hAnsi="Times New Roman" w:cs="Times New Roman"/>
          <w:color w:val="000000"/>
          <w:sz w:val="20"/>
          <w:szCs w:val="20"/>
          <w:lang w:eastAsia="es-MX"/>
        </w:rPr>
        <w:t>Fuente: Programa Parcial de Reordenamiento Urbano-Turístico de Punta Cancún</w:t>
      </w:r>
    </w:p>
    <w:p w:rsidR="00047E57" w:rsidRDefault="00047E57"/>
    <w:p w:rsidR="00047E57" w:rsidRDefault="00047E57"/>
    <w:sectPr w:rsidR="00047E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E57"/>
    <w:rsid w:val="00047E57"/>
    <w:rsid w:val="001A24F7"/>
    <w:rsid w:val="00657195"/>
    <w:rsid w:val="007F5F78"/>
    <w:rsid w:val="00A11A99"/>
    <w:rsid w:val="00A125A7"/>
    <w:rsid w:val="00AA6FAE"/>
    <w:rsid w:val="00B44AEB"/>
    <w:rsid w:val="00D72916"/>
    <w:rsid w:val="00FE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7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E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7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E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del Caribe</Company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 Coy</dc:creator>
  <cp:lastModifiedBy>Mc Coy</cp:lastModifiedBy>
  <cp:revision>1</cp:revision>
  <dcterms:created xsi:type="dcterms:W3CDTF">2015-04-22T18:57:00Z</dcterms:created>
  <dcterms:modified xsi:type="dcterms:W3CDTF">2015-04-22T18:59:00Z</dcterms:modified>
</cp:coreProperties>
</file>